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55F1" w14:textId="269D2503" w:rsidR="0002069A" w:rsidRDefault="0002069A" w:rsidP="0002069A">
      <w:pPr>
        <w:widowControl/>
        <w:autoSpaceDE/>
        <w:autoSpaceDN/>
        <w:spacing w:after="160" w:line="259" w:lineRule="auto"/>
        <w:jc w:val="both"/>
        <w:rPr>
          <w:rFonts w:eastAsia="Aptos"/>
          <w:b/>
          <w:bCs/>
          <w:kern w:val="2"/>
          <w:sz w:val="24"/>
          <w:szCs w:val="24"/>
          <w14:ligatures w14:val="standardContextual"/>
        </w:rPr>
      </w:pPr>
      <w:r w:rsidRPr="005E746E">
        <w:rPr>
          <w:b/>
          <w:noProof/>
          <w:sz w:val="32"/>
          <w:szCs w:val="32"/>
          <w:lang w:val="es-ES" w:eastAsia="es-ES"/>
        </w:rPr>
        <mc:AlternateContent>
          <mc:Choice Requires="wps">
            <w:drawing>
              <wp:anchor distT="0" distB="0" distL="114300" distR="114300" simplePos="0" relativeHeight="251659264" behindDoc="0" locked="0" layoutInCell="1" allowOverlap="1" wp14:anchorId="7367919C" wp14:editId="5C31EEF3">
                <wp:simplePos x="0" y="0"/>
                <wp:positionH relativeFrom="margin">
                  <wp:posOffset>3030855</wp:posOffset>
                </wp:positionH>
                <wp:positionV relativeFrom="paragraph">
                  <wp:posOffset>-184785</wp:posOffset>
                </wp:positionV>
                <wp:extent cx="1250459" cy="422694"/>
                <wp:effectExtent l="0" t="0" r="6985" b="0"/>
                <wp:wrapNone/>
                <wp:docPr id="858336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459" cy="422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18948" w14:textId="77777777" w:rsidR="0002069A" w:rsidRPr="00714049" w:rsidRDefault="0002069A" w:rsidP="0002069A">
                            <w:pPr>
                              <w:pStyle w:val="NormalWeb"/>
                              <w:jc w:val="center"/>
                              <w:rPr>
                                <w:sz w:val="28"/>
                                <w:szCs w:val="28"/>
                              </w:rPr>
                            </w:pPr>
                            <w:r w:rsidRPr="00714049">
                              <w:rPr>
                                <w:rFonts w:ascii="Arial" w:eastAsia="+mn-ea" w:hAnsi="Arial" w:cs="Arial"/>
                                <w:b/>
                                <w:bCs/>
                                <w:color w:val="7030A0"/>
                                <w:sz w:val="28"/>
                                <w:szCs w:val="28"/>
                              </w:rPr>
                              <w:t xml:space="preserve">Anexo </w:t>
                            </w:r>
                            <w:r>
                              <w:rPr>
                                <w:rFonts w:ascii="Arial" w:eastAsia="+mn-ea" w:hAnsi="Arial" w:cs="Arial"/>
                                <w:b/>
                                <w:bCs/>
                                <w:color w:val="7030A0"/>
                                <w:sz w:val="28"/>
                                <w:szCs w:val="28"/>
                              </w:rPr>
                              <w:t>4</w:t>
                            </w:r>
                          </w:p>
                        </w:txbxContent>
                      </wps:txbx>
                      <wps:bodyPr vertOverflow="clip"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type w14:anchorId="7367919C" id="_x0000_t202" coordsize="21600,21600" o:spt="202" path="m,l,21600r21600,l21600,xe">
                <v:stroke joinstyle="miter"/>
                <v:path gradientshapeok="t" o:connecttype="rect"/>
              </v:shapetype>
              <v:shape id="Text Box 1" o:spid="_x0000_s1026" type="#_x0000_t202" style="position:absolute;left:0;text-align:left;margin-left:238.65pt;margin-top:-14.55pt;width:98.45pt;height:3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SQ7wEAALwDAAAOAAAAZHJzL2Uyb0RvYy54bWysU8Fu2zAMvQ/YPwi6L04Mp1uMOEXXIsOA&#10;bi3Q7QNkWbaFyaJGKbHz96OUNM22W1EfCNOUHvken9fX02DYXqHXYCu+mM05U1ZCo21X8Z8/th8+&#10;ceaDsI0wYFXFD8rz6837d+vRlSqHHkyjkBGI9eXoKt6H4Mos87JXg/AzcMpSsQUcRKAUu6xBMRL6&#10;YLJ8Pr/KRsDGIUjlPX29Oxb5JuG3rZLhoW29CsxUnGYLKWKKdYzZZi3KDoXrtTyNIV4xxSC0paZn&#10;qDsRBNuh/g9q0BLBQxtmEoYM2lZLlTgQm8X8HzZPvXAqcSFxvDvL5N8OVn7fP7lHZGH6DBMtMJHw&#10;7h7kL88s3PbCduoGEcZeiYYaL6Jk2eh8eboapfaljyD1+A0aWrLYBUhAU4tDVIV4MkKnBRzOoqsp&#10;MBlb5st5sVxxJqlW5PnVqkgtRPl826EPXxQMLL5UHGmpCV3s732I04jy+Uhs5sHoZquNSQl29a1B&#10;thdkgG16Tuh/HTM2HrYQrx0R45dEMzI7cgxTPVEx0q2hORBhMn54oNAaGCsujXacjWSmivvfO4GK&#10;M/PVkmirRVFE96WkWH7MKcHLSn1ZEVb2QB4NnO0c6q4n0sfFWLghaVudWL/McZqULJLEONk5evAy&#10;T6defrrNHwAAAP//AwBQSwMEFAAGAAgAAAAhAH3qQ2zfAAAACgEAAA8AAABkcnMvZG93bnJldi54&#10;bWxMj9FOg0AQRd9N/IfNmPhi2qWUshZZGjXR+NraDxhgCkR2lrDbQv/e9ck+Tu7JvWfy3Wx6caHR&#10;dZY1rJYRCOLK1h03Go7fH4tnEM4j19hbJg1XcrAr7u9yzGo78Z4uB9+IUMIuQw2t90MmpataMuiW&#10;diAO2cmOBn04x0bWI06h3PQyjqJUGuw4LLQ40HtL1c/hbDScvqanzXYqP/1R7ZP0DTtV2qvWjw/z&#10;6wsIT7P/h+FPP6hDEZxKe+baiV5DotQ6oBoW8XYFIhCpSmIQpYa12oAscnn7QvELAAD//wMAUEsB&#10;Ai0AFAAGAAgAAAAhALaDOJL+AAAA4QEAABMAAAAAAAAAAAAAAAAAAAAAAFtDb250ZW50X1R5cGVz&#10;XS54bWxQSwECLQAUAAYACAAAACEAOP0h/9YAAACUAQAACwAAAAAAAAAAAAAAAAAvAQAAX3JlbHMv&#10;LnJlbHNQSwECLQAUAAYACAAAACEAoaokkO8BAAC8AwAADgAAAAAAAAAAAAAAAAAuAgAAZHJzL2Uy&#10;b0RvYy54bWxQSwECLQAUAAYACAAAACEAfepDbN8AAAAKAQAADwAAAAAAAAAAAAAAAABJBAAAZHJz&#10;L2Rvd25yZXYueG1sUEsFBgAAAAAEAAQA8wAAAFUFAAAAAA==&#10;" stroked="f">
                <v:textbox>
                  <w:txbxContent>
                    <w:p w14:paraId="40518948" w14:textId="77777777" w:rsidR="0002069A" w:rsidRPr="00714049" w:rsidRDefault="0002069A" w:rsidP="0002069A">
                      <w:pPr>
                        <w:pStyle w:val="NormalWeb"/>
                        <w:jc w:val="center"/>
                        <w:rPr>
                          <w:sz w:val="28"/>
                          <w:szCs w:val="28"/>
                        </w:rPr>
                      </w:pPr>
                      <w:r w:rsidRPr="00714049">
                        <w:rPr>
                          <w:rFonts w:ascii="Arial" w:eastAsia="+mn-ea" w:hAnsi="Arial" w:cs="Arial"/>
                          <w:b/>
                          <w:bCs/>
                          <w:color w:val="7030A0"/>
                          <w:sz w:val="28"/>
                          <w:szCs w:val="28"/>
                        </w:rPr>
                        <w:t xml:space="preserve">Anexo </w:t>
                      </w:r>
                      <w:r>
                        <w:rPr>
                          <w:rFonts w:ascii="Arial" w:eastAsia="+mn-ea" w:hAnsi="Arial" w:cs="Arial"/>
                          <w:b/>
                          <w:bCs/>
                          <w:color w:val="7030A0"/>
                          <w:sz w:val="28"/>
                          <w:szCs w:val="28"/>
                        </w:rPr>
                        <w:t>4</w:t>
                      </w:r>
                    </w:p>
                  </w:txbxContent>
                </v:textbox>
                <w10:wrap anchorx="margin"/>
              </v:shape>
            </w:pict>
          </mc:Fallback>
        </mc:AlternateContent>
      </w:r>
      <w:r w:rsidRPr="00432532">
        <w:rPr>
          <w:b/>
          <w:bCs/>
          <w:noProof/>
          <w:sz w:val="28"/>
          <w:szCs w:val="28"/>
          <w:lang w:val="es-ES"/>
        </w:rPr>
        <w:drawing>
          <wp:anchor distT="0" distB="0" distL="0" distR="0" simplePos="0" relativeHeight="251661312" behindDoc="0" locked="0" layoutInCell="1" allowOverlap="1" wp14:anchorId="4681A0E5" wp14:editId="370D7F67">
            <wp:simplePos x="0" y="0"/>
            <wp:positionH relativeFrom="margin">
              <wp:align>left</wp:align>
            </wp:positionH>
            <wp:positionV relativeFrom="paragraph">
              <wp:posOffset>-695960</wp:posOffset>
            </wp:positionV>
            <wp:extent cx="1020233" cy="558800"/>
            <wp:effectExtent l="0" t="0" r="8890" b="0"/>
            <wp:wrapNone/>
            <wp:docPr id="99938768" name="Image 1" descr="For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938768" name="Image 1" descr="Forma&#10;&#10;El contenido generado por IA puede ser incorrecto."/>
                    <pic:cNvPicPr/>
                  </pic:nvPicPr>
                  <pic:blipFill>
                    <a:blip r:embed="rId7" cstate="print"/>
                    <a:stretch>
                      <a:fillRect/>
                    </a:stretch>
                  </pic:blipFill>
                  <pic:spPr>
                    <a:xfrm>
                      <a:off x="0" y="0"/>
                      <a:ext cx="1020233" cy="558800"/>
                    </a:xfrm>
                    <a:prstGeom prst="rect">
                      <a:avLst/>
                    </a:prstGeom>
                  </pic:spPr>
                </pic:pic>
              </a:graphicData>
            </a:graphic>
            <wp14:sizeRelH relativeFrom="margin">
              <wp14:pctWidth>0</wp14:pctWidth>
            </wp14:sizeRelH>
            <wp14:sizeRelV relativeFrom="margin">
              <wp14:pctHeight>0</wp14:pctHeight>
            </wp14:sizeRelV>
          </wp:anchor>
        </w:drawing>
      </w:r>
    </w:p>
    <w:p w14:paraId="6B4DE1E7" w14:textId="7714F85D" w:rsidR="0002069A" w:rsidRPr="00E61AFF" w:rsidRDefault="0002069A" w:rsidP="0002069A">
      <w:pPr>
        <w:widowControl/>
        <w:autoSpaceDE/>
        <w:autoSpaceDN/>
        <w:spacing w:after="160" w:line="259" w:lineRule="auto"/>
        <w:jc w:val="both"/>
        <w:rPr>
          <w:rFonts w:eastAsia="Aptos"/>
          <w:b/>
          <w:bCs/>
          <w:kern w:val="2"/>
          <w:sz w:val="24"/>
          <w:szCs w:val="24"/>
          <w14:ligatures w14:val="standardContextual"/>
        </w:rPr>
      </w:pPr>
      <w:r w:rsidRPr="00E61AFF">
        <w:rPr>
          <w:rFonts w:eastAsia="Aptos"/>
          <w:b/>
          <w:bCs/>
          <w:kern w:val="2"/>
          <w:sz w:val="24"/>
          <w:szCs w:val="24"/>
          <w14:ligatures w14:val="standardContextual"/>
        </w:rPr>
        <w:t>Calendario de fechas y horarios de los cursos de capacitación para la ciudadanía y Organizaciones de Sociedad Civil con interés por participar en la observación en la Elección de las Comisiones de Participación Comunitaria (COPACO) 2026 y la Consulta de Presupuesto Participativo (CPP) 2026 y 2027</w:t>
      </w:r>
    </w:p>
    <w:p w14:paraId="25E05594" w14:textId="77777777" w:rsidR="0002069A" w:rsidRPr="00E61AFF" w:rsidRDefault="0002069A" w:rsidP="0002069A">
      <w:pPr>
        <w:widowControl/>
        <w:autoSpaceDE/>
        <w:autoSpaceDN/>
        <w:spacing w:after="160" w:line="259" w:lineRule="auto"/>
        <w:jc w:val="both"/>
        <w:rPr>
          <w:rFonts w:eastAsia="Aptos"/>
          <w:kern w:val="2"/>
          <w:sz w:val="24"/>
          <w:szCs w:val="24"/>
          <w14:ligatures w14:val="standardContextual"/>
        </w:rPr>
      </w:pPr>
      <w:r w:rsidRPr="00E61AFF">
        <w:rPr>
          <w:rFonts w:eastAsia="Aptos"/>
          <w:kern w:val="2"/>
          <w:sz w:val="24"/>
          <w:szCs w:val="24"/>
          <w14:ligatures w14:val="standardContextual"/>
        </w:rPr>
        <w:t xml:space="preserve">Con fundamento en lo que establece la </w:t>
      </w:r>
      <w:r w:rsidRPr="00E61AFF">
        <w:rPr>
          <w:rFonts w:eastAsia="Aptos"/>
          <w:b/>
          <w:bCs/>
          <w:i/>
          <w:iCs/>
          <w:kern w:val="2"/>
          <w:sz w:val="24"/>
          <w:szCs w:val="24"/>
          <w14:ligatures w14:val="standardContextual"/>
        </w:rPr>
        <w:t>BASE</w:t>
      </w:r>
      <w:r w:rsidRPr="00E61AFF">
        <w:rPr>
          <w:rFonts w:eastAsia="Aptos"/>
          <w:i/>
          <w:iCs/>
          <w:kern w:val="2"/>
          <w:sz w:val="24"/>
          <w:szCs w:val="24"/>
          <w14:ligatures w14:val="standardContextual"/>
        </w:rPr>
        <w:t xml:space="preserve"> </w:t>
      </w:r>
      <w:r w:rsidRPr="00E61AFF">
        <w:rPr>
          <w:rFonts w:eastAsia="Aptos"/>
          <w:b/>
          <w:bCs/>
          <w:i/>
          <w:iCs/>
          <w:kern w:val="2"/>
          <w:sz w:val="24"/>
          <w:szCs w:val="24"/>
          <w14:ligatures w14:val="standardContextual"/>
        </w:rPr>
        <w:t>SEXTA</w:t>
      </w:r>
      <w:r w:rsidRPr="00E61AFF">
        <w:rPr>
          <w:rFonts w:eastAsia="Aptos"/>
          <w:i/>
          <w:iCs/>
          <w:kern w:val="2"/>
          <w:sz w:val="24"/>
          <w:szCs w:val="24"/>
          <w14:ligatures w14:val="standardContextual"/>
        </w:rPr>
        <w:t xml:space="preserve">. Capacitación para personas observadoras </w:t>
      </w:r>
      <w:r w:rsidRPr="00E61AFF">
        <w:rPr>
          <w:rFonts w:eastAsia="Aptos"/>
          <w:kern w:val="2"/>
          <w:sz w:val="24"/>
          <w:szCs w:val="24"/>
          <w14:ligatures w14:val="standardContextual"/>
        </w:rPr>
        <w:t xml:space="preserve">de la </w:t>
      </w:r>
      <w:r w:rsidRPr="00E61AFF">
        <w:rPr>
          <w:rFonts w:eastAsia="Aptos"/>
          <w:b/>
          <w:bCs/>
          <w:i/>
          <w:iCs/>
          <w:kern w:val="2"/>
          <w:sz w:val="24"/>
          <w:szCs w:val="24"/>
          <w14:ligatures w14:val="standardContextual"/>
        </w:rPr>
        <w:t>Convocatoria para la ciudadanía interesada en acreditarse como observadora en la Elección de las Comisiones de Participación Comunitaria (COPACO) 2026 y la Consulta de Presupuesto Participativo (CPP) 2026 y 2027</w:t>
      </w:r>
      <w:r w:rsidRPr="00E61AFF">
        <w:rPr>
          <w:rFonts w:eastAsia="Aptos"/>
          <w:kern w:val="2"/>
          <w:sz w:val="24"/>
          <w:szCs w:val="24"/>
          <w14:ligatures w14:val="standardContextual"/>
        </w:rPr>
        <w:t>, aprobada el ___</w:t>
      </w:r>
      <w:r w:rsidRPr="00E61AFF">
        <w:rPr>
          <w:rFonts w:eastAsia="Aptos"/>
          <w:b/>
          <w:bCs/>
          <w:kern w:val="2"/>
          <w:sz w:val="24"/>
          <w:szCs w:val="24"/>
          <w14:ligatures w14:val="standardContextual"/>
        </w:rPr>
        <w:t xml:space="preserve"> de _____________ </w:t>
      </w:r>
      <w:proofErr w:type="spellStart"/>
      <w:r w:rsidRPr="00E61AFF">
        <w:rPr>
          <w:rFonts w:eastAsia="Aptos"/>
          <w:b/>
          <w:bCs/>
          <w:kern w:val="2"/>
          <w:sz w:val="24"/>
          <w:szCs w:val="24"/>
          <w14:ligatures w14:val="standardContextual"/>
        </w:rPr>
        <w:t>de</w:t>
      </w:r>
      <w:proofErr w:type="spellEnd"/>
      <w:r w:rsidRPr="00E61AFF">
        <w:rPr>
          <w:rFonts w:eastAsia="Aptos"/>
          <w:b/>
          <w:bCs/>
          <w:kern w:val="2"/>
          <w:sz w:val="24"/>
          <w:szCs w:val="24"/>
          <w14:ligatures w14:val="standardContextual"/>
        </w:rPr>
        <w:t xml:space="preserve"> 202_ </w:t>
      </w:r>
      <w:r w:rsidRPr="00E61AFF">
        <w:rPr>
          <w:rFonts w:eastAsia="Aptos"/>
          <w:kern w:val="2"/>
          <w:sz w:val="24"/>
          <w:szCs w:val="24"/>
          <w14:ligatures w14:val="standardContextual"/>
        </w:rPr>
        <w:t xml:space="preserve">por el Consejo General, mediante el Acuerdo número </w:t>
      </w:r>
      <w:r w:rsidRPr="00E61AFF">
        <w:rPr>
          <w:rFonts w:eastAsia="Aptos"/>
          <w:b/>
          <w:bCs/>
          <w:kern w:val="2"/>
          <w:sz w:val="24"/>
          <w:szCs w:val="24"/>
          <w14:ligatures w14:val="standardContextual"/>
        </w:rPr>
        <w:t>IECM/ACU-CG-0__/202_</w:t>
      </w:r>
      <w:r w:rsidRPr="00E61AFF">
        <w:rPr>
          <w:rFonts w:eastAsia="Aptos"/>
          <w:kern w:val="2"/>
          <w:sz w:val="24"/>
          <w:szCs w:val="24"/>
          <w14:ligatures w14:val="standardContextual"/>
        </w:rPr>
        <w:t xml:space="preserve">, se informa a la ciudadanía y Organizaciones de la Sociedad Civil que los cursos de capacitación presenciales que imparta el Instituto Electoral de la Ciudad de México, se ofrecerán en las 33 Direcciones Distritales, así como en la Dirección Ejecutiva de Organización Electoral y Geoestadística (DEOEyG). </w:t>
      </w:r>
    </w:p>
    <w:p w14:paraId="2A3FCF95" w14:textId="77777777" w:rsidR="0002069A" w:rsidRPr="00E61AFF" w:rsidRDefault="0002069A" w:rsidP="0002069A">
      <w:pPr>
        <w:widowControl/>
        <w:autoSpaceDE/>
        <w:autoSpaceDN/>
        <w:spacing w:after="160" w:line="259" w:lineRule="auto"/>
        <w:jc w:val="both"/>
        <w:rPr>
          <w:rFonts w:eastAsia="Aptos"/>
          <w:kern w:val="2"/>
          <w:sz w:val="24"/>
          <w:szCs w:val="24"/>
          <w14:ligatures w14:val="standardContextual"/>
        </w:rPr>
      </w:pPr>
      <w:r w:rsidRPr="00E61AFF">
        <w:rPr>
          <w:rFonts w:eastAsia="Aptos"/>
          <w:kern w:val="2"/>
          <w:sz w:val="24"/>
          <w:szCs w:val="24"/>
          <w14:ligatures w14:val="standardContextual"/>
        </w:rPr>
        <w:t>En caso de que las personas interesadas en realizar labores de observación ciudadana no puedan acudir al curso en las fechas y horarios establecidos, contarán con la opción de acreditarlo en línea, a través del Sistema de Observación para Procedimientos de Participación Ciudadana (Sistema de Observación) o a través de las Organizaciones de la Sociedad Civil registradas.</w:t>
      </w:r>
    </w:p>
    <w:p w14:paraId="6D0B3F2C" w14:textId="77777777" w:rsidR="0002069A" w:rsidRPr="00E61AFF" w:rsidRDefault="0002069A" w:rsidP="0002069A">
      <w:pPr>
        <w:widowControl/>
        <w:autoSpaceDE/>
        <w:autoSpaceDN/>
        <w:spacing w:after="160" w:line="259" w:lineRule="auto"/>
        <w:jc w:val="both"/>
        <w:rPr>
          <w:rFonts w:eastAsia="Aptos"/>
          <w:kern w:val="2"/>
          <w:sz w:val="24"/>
          <w:szCs w:val="24"/>
          <w14:ligatures w14:val="standardContextual"/>
        </w:rPr>
      </w:pPr>
      <w:r w:rsidRPr="00E61AFF">
        <w:rPr>
          <w:rFonts w:eastAsia="Aptos"/>
          <w:kern w:val="2"/>
          <w:sz w:val="24"/>
          <w:szCs w:val="24"/>
          <w14:ligatures w14:val="standardContextual"/>
        </w:rPr>
        <w:t xml:space="preserve">Las fechas, horarios y sedes para impartir los cursos son: </w:t>
      </w:r>
    </w:p>
    <w:tbl>
      <w:tblPr>
        <w:tblStyle w:val="Tablaconcuadrcula2"/>
        <w:tblW w:w="0" w:type="auto"/>
        <w:tblLook w:val="04A0" w:firstRow="1" w:lastRow="0" w:firstColumn="1" w:lastColumn="0" w:noHBand="0" w:noVBand="1"/>
      </w:tblPr>
      <w:tblGrid>
        <w:gridCol w:w="1743"/>
        <w:gridCol w:w="1771"/>
        <w:gridCol w:w="1958"/>
        <w:gridCol w:w="1849"/>
        <w:gridCol w:w="1507"/>
      </w:tblGrid>
      <w:tr w:rsidR="0002069A" w:rsidRPr="00E61AFF" w14:paraId="42A3522C" w14:textId="77777777" w:rsidTr="00DD46C3">
        <w:tc>
          <w:tcPr>
            <w:tcW w:w="1749" w:type="dxa"/>
            <w:shd w:val="clear" w:color="auto" w:fill="975CCB"/>
            <w:vAlign w:val="center"/>
          </w:tcPr>
          <w:p w14:paraId="63837617" w14:textId="77777777" w:rsidR="0002069A" w:rsidRPr="00E61AFF" w:rsidRDefault="0002069A" w:rsidP="00DD46C3">
            <w:pPr>
              <w:widowControl/>
              <w:autoSpaceDE/>
              <w:autoSpaceDN/>
              <w:jc w:val="center"/>
              <w:rPr>
                <w:rFonts w:eastAsia="Aptos"/>
                <w:sz w:val="18"/>
                <w:szCs w:val="18"/>
              </w:rPr>
            </w:pPr>
            <w:r w:rsidRPr="00E61AFF">
              <w:rPr>
                <w:rFonts w:eastAsia="Aptos"/>
                <w:b/>
                <w:bCs/>
                <w:sz w:val="18"/>
                <w:szCs w:val="18"/>
              </w:rPr>
              <w:t>Fechas</w:t>
            </w:r>
          </w:p>
        </w:tc>
        <w:tc>
          <w:tcPr>
            <w:tcW w:w="1785" w:type="dxa"/>
            <w:shd w:val="clear" w:color="auto" w:fill="975CCB"/>
            <w:vAlign w:val="center"/>
          </w:tcPr>
          <w:p w14:paraId="45563AFA" w14:textId="77777777" w:rsidR="0002069A" w:rsidRPr="00E61AFF" w:rsidRDefault="0002069A" w:rsidP="00DD46C3">
            <w:pPr>
              <w:widowControl/>
              <w:autoSpaceDE/>
              <w:autoSpaceDN/>
              <w:jc w:val="center"/>
              <w:rPr>
                <w:rFonts w:eastAsia="Aptos"/>
                <w:sz w:val="18"/>
                <w:szCs w:val="18"/>
              </w:rPr>
            </w:pPr>
            <w:r w:rsidRPr="00E61AFF">
              <w:rPr>
                <w:rFonts w:eastAsia="Aptos"/>
                <w:b/>
                <w:bCs/>
                <w:sz w:val="18"/>
                <w:szCs w:val="18"/>
              </w:rPr>
              <w:t>Horarios</w:t>
            </w:r>
          </w:p>
        </w:tc>
        <w:tc>
          <w:tcPr>
            <w:tcW w:w="1969" w:type="dxa"/>
            <w:shd w:val="clear" w:color="auto" w:fill="975CCB"/>
            <w:vAlign w:val="center"/>
          </w:tcPr>
          <w:p w14:paraId="182174DF" w14:textId="77777777" w:rsidR="0002069A" w:rsidRPr="00E61AFF" w:rsidRDefault="0002069A" w:rsidP="00DD46C3">
            <w:pPr>
              <w:widowControl/>
              <w:autoSpaceDE/>
              <w:autoSpaceDN/>
              <w:jc w:val="center"/>
              <w:rPr>
                <w:rFonts w:eastAsia="Aptos"/>
                <w:sz w:val="18"/>
                <w:szCs w:val="18"/>
              </w:rPr>
            </w:pPr>
            <w:r w:rsidRPr="00E61AFF">
              <w:rPr>
                <w:rFonts w:eastAsia="Aptos"/>
                <w:b/>
                <w:bCs/>
                <w:sz w:val="18"/>
                <w:szCs w:val="18"/>
              </w:rPr>
              <w:t>Sedes</w:t>
            </w:r>
          </w:p>
        </w:tc>
        <w:tc>
          <w:tcPr>
            <w:tcW w:w="1860" w:type="dxa"/>
            <w:shd w:val="clear" w:color="auto" w:fill="975CCB"/>
            <w:vAlign w:val="center"/>
          </w:tcPr>
          <w:p w14:paraId="568D3FA4" w14:textId="77777777" w:rsidR="0002069A" w:rsidRPr="00E61AFF" w:rsidRDefault="0002069A" w:rsidP="00DD46C3">
            <w:pPr>
              <w:widowControl/>
              <w:autoSpaceDE/>
              <w:autoSpaceDN/>
              <w:jc w:val="center"/>
              <w:rPr>
                <w:rFonts w:eastAsia="Aptos"/>
                <w:sz w:val="18"/>
                <w:szCs w:val="18"/>
              </w:rPr>
            </w:pPr>
            <w:r w:rsidRPr="00E61AFF">
              <w:rPr>
                <w:rFonts w:eastAsia="Aptos"/>
                <w:b/>
                <w:bCs/>
                <w:sz w:val="18"/>
                <w:szCs w:val="18"/>
              </w:rPr>
              <w:t>Modalidad en Línea</w:t>
            </w:r>
          </w:p>
        </w:tc>
        <w:tc>
          <w:tcPr>
            <w:tcW w:w="1465" w:type="dxa"/>
            <w:shd w:val="clear" w:color="auto" w:fill="975CCB"/>
            <w:vAlign w:val="center"/>
          </w:tcPr>
          <w:p w14:paraId="03CF4C00" w14:textId="77777777" w:rsidR="0002069A" w:rsidRPr="00E61AFF" w:rsidRDefault="0002069A" w:rsidP="00DD46C3">
            <w:pPr>
              <w:widowControl/>
              <w:autoSpaceDE/>
              <w:autoSpaceDN/>
              <w:jc w:val="center"/>
              <w:rPr>
                <w:rFonts w:eastAsia="Aptos"/>
                <w:sz w:val="18"/>
                <w:szCs w:val="18"/>
              </w:rPr>
            </w:pPr>
            <w:r w:rsidRPr="00E61AFF">
              <w:rPr>
                <w:rFonts w:eastAsia="Aptos"/>
                <w:b/>
                <w:bCs/>
                <w:sz w:val="18"/>
                <w:szCs w:val="18"/>
              </w:rPr>
              <w:t>Observaciones</w:t>
            </w:r>
          </w:p>
        </w:tc>
      </w:tr>
      <w:tr w:rsidR="0002069A" w:rsidRPr="00E61AFF" w14:paraId="7905ED25" w14:textId="77777777" w:rsidTr="00DD46C3">
        <w:tc>
          <w:tcPr>
            <w:tcW w:w="1749" w:type="dxa"/>
            <w:vAlign w:val="center"/>
          </w:tcPr>
          <w:p w14:paraId="0E944857" w14:textId="77777777" w:rsidR="0002069A" w:rsidRPr="00E61AFF" w:rsidRDefault="0002069A" w:rsidP="00DD46C3">
            <w:pPr>
              <w:widowControl/>
              <w:autoSpaceDE/>
              <w:autoSpaceDN/>
              <w:jc w:val="both"/>
              <w:rPr>
                <w:rFonts w:eastAsia="Aptos"/>
                <w:sz w:val="18"/>
                <w:szCs w:val="18"/>
              </w:rPr>
            </w:pPr>
            <w:r w:rsidRPr="00E61AFF">
              <w:rPr>
                <w:rFonts w:eastAsia="Aptos"/>
                <w:sz w:val="18"/>
                <w:szCs w:val="18"/>
              </w:rPr>
              <w:t xml:space="preserve">Todos los viernes comprendidos en el periodo del </w:t>
            </w:r>
            <w:r w:rsidRPr="008A0F07">
              <w:rPr>
                <w:rFonts w:eastAsia="Aptos"/>
                <w:b/>
                <w:bCs/>
                <w:sz w:val="18"/>
                <w:szCs w:val="18"/>
              </w:rPr>
              <w:t xml:space="preserve">6 </w:t>
            </w:r>
            <w:r w:rsidRPr="00E61AFF">
              <w:rPr>
                <w:rFonts w:eastAsia="Aptos"/>
                <w:b/>
                <w:bCs/>
                <w:sz w:val="18"/>
                <w:szCs w:val="18"/>
              </w:rPr>
              <w:t xml:space="preserve">de </w:t>
            </w:r>
            <w:r>
              <w:rPr>
                <w:rFonts w:eastAsia="Aptos"/>
                <w:b/>
                <w:bCs/>
                <w:sz w:val="18"/>
                <w:szCs w:val="18"/>
              </w:rPr>
              <w:t>f</w:t>
            </w:r>
            <w:r w:rsidRPr="00E61AFF">
              <w:rPr>
                <w:rFonts w:eastAsia="Aptos"/>
                <w:b/>
                <w:bCs/>
                <w:sz w:val="18"/>
                <w:szCs w:val="18"/>
              </w:rPr>
              <w:t>e</w:t>
            </w:r>
            <w:r>
              <w:rPr>
                <w:rFonts w:eastAsia="Aptos"/>
                <w:b/>
                <w:bCs/>
                <w:sz w:val="18"/>
                <w:szCs w:val="18"/>
              </w:rPr>
              <w:t>brero</w:t>
            </w:r>
            <w:r w:rsidRPr="00E61AFF">
              <w:rPr>
                <w:rFonts w:eastAsia="Aptos"/>
                <w:b/>
                <w:bCs/>
                <w:sz w:val="18"/>
                <w:szCs w:val="18"/>
              </w:rPr>
              <w:t xml:space="preserve"> al 17 de abril de 2026</w:t>
            </w:r>
          </w:p>
        </w:tc>
        <w:tc>
          <w:tcPr>
            <w:tcW w:w="1785" w:type="dxa"/>
            <w:vAlign w:val="center"/>
          </w:tcPr>
          <w:p w14:paraId="69A7E9B9" w14:textId="77777777" w:rsidR="0002069A" w:rsidRPr="00E61AFF" w:rsidRDefault="0002069A" w:rsidP="0002069A">
            <w:pPr>
              <w:widowControl/>
              <w:numPr>
                <w:ilvl w:val="0"/>
                <w:numId w:val="1"/>
              </w:numPr>
              <w:autoSpaceDE/>
              <w:autoSpaceDN/>
              <w:ind w:left="141" w:hanging="141"/>
              <w:contextualSpacing/>
              <w:jc w:val="both"/>
              <w:rPr>
                <w:rFonts w:eastAsia="Aptos"/>
                <w:sz w:val="18"/>
                <w:szCs w:val="18"/>
              </w:rPr>
            </w:pPr>
            <w:r w:rsidRPr="00E61AFF">
              <w:rPr>
                <w:rFonts w:eastAsia="Aptos"/>
                <w:sz w:val="18"/>
                <w:szCs w:val="18"/>
              </w:rPr>
              <w:t>10:00 a 12:00 horas</w:t>
            </w:r>
          </w:p>
          <w:p w14:paraId="69BE6048" w14:textId="77777777" w:rsidR="0002069A" w:rsidRPr="00E61AFF" w:rsidRDefault="0002069A" w:rsidP="00DD46C3">
            <w:pPr>
              <w:widowControl/>
              <w:autoSpaceDE/>
              <w:autoSpaceDN/>
              <w:ind w:left="141"/>
              <w:contextualSpacing/>
              <w:jc w:val="both"/>
              <w:rPr>
                <w:rFonts w:eastAsia="Aptos"/>
                <w:sz w:val="18"/>
                <w:szCs w:val="18"/>
              </w:rPr>
            </w:pPr>
            <w:r w:rsidRPr="00E61AFF">
              <w:rPr>
                <w:rFonts w:eastAsia="Aptos"/>
                <w:sz w:val="18"/>
                <w:szCs w:val="18"/>
              </w:rPr>
              <w:t xml:space="preserve">15:00 a 17:00 horas </w:t>
            </w:r>
          </w:p>
        </w:tc>
        <w:tc>
          <w:tcPr>
            <w:tcW w:w="1969" w:type="dxa"/>
            <w:vAlign w:val="center"/>
          </w:tcPr>
          <w:p w14:paraId="47809095" w14:textId="77777777" w:rsidR="0002069A" w:rsidRPr="00E61AFF" w:rsidRDefault="0002069A" w:rsidP="00DD46C3">
            <w:pPr>
              <w:widowControl/>
              <w:autoSpaceDE/>
              <w:autoSpaceDN/>
              <w:jc w:val="both"/>
              <w:rPr>
                <w:rFonts w:eastAsia="Aptos"/>
                <w:sz w:val="18"/>
                <w:szCs w:val="18"/>
              </w:rPr>
            </w:pPr>
            <w:r w:rsidRPr="00E61AFF">
              <w:rPr>
                <w:rFonts w:eastAsia="Aptos"/>
                <w:b/>
                <w:bCs/>
                <w:sz w:val="18"/>
                <w:szCs w:val="18"/>
              </w:rPr>
              <w:t xml:space="preserve">33 </w:t>
            </w:r>
            <w:proofErr w:type="gramStart"/>
            <w:r w:rsidRPr="00E61AFF">
              <w:rPr>
                <w:rFonts w:eastAsia="Aptos"/>
                <w:b/>
                <w:bCs/>
                <w:sz w:val="18"/>
                <w:szCs w:val="18"/>
              </w:rPr>
              <w:t>Direcciones</w:t>
            </w:r>
            <w:proofErr w:type="gramEnd"/>
            <w:r w:rsidRPr="00E61AFF">
              <w:rPr>
                <w:rFonts w:eastAsia="Aptos"/>
                <w:b/>
                <w:bCs/>
                <w:sz w:val="18"/>
                <w:szCs w:val="18"/>
              </w:rPr>
              <w:t xml:space="preserve"> Distritales </w:t>
            </w:r>
          </w:p>
          <w:p w14:paraId="2A378995" w14:textId="77777777" w:rsidR="0002069A" w:rsidRPr="00E61AFF" w:rsidRDefault="0002069A" w:rsidP="00DD46C3">
            <w:pPr>
              <w:widowControl/>
              <w:autoSpaceDE/>
              <w:autoSpaceDN/>
              <w:jc w:val="both"/>
              <w:rPr>
                <w:rFonts w:eastAsia="Aptos"/>
                <w:sz w:val="18"/>
                <w:szCs w:val="18"/>
              </w:rPr>
            </w:pPr>
            <w:r w:rsidRPr="00E61AFF">
              <w:rPr>
                <w:rFonts w:eastAsia="Aptos"/>
                <w:sz w:val="18"/>
                <w:szCs w:val="18"/>
              </w:rPr>
              <w:t xml:space="preserve">Favor de consultar los domicilios en la página electrónica institucional </w:t>
            </w:r>
            <w:r w:rsidRPr="00E61AFF">
              <w:rPr>
                <w:rFonts w:eastAsia="Aptos"/>
                <w:i/>
                <w:iCs/>
                <w:sz w:val="18"/>
                <w:szCs w:val="18"/>
              </w:rPr>
              <w:t xml:space="preserve">www.iecm.mx </w:t>
            </w:r>
          </w:p>
          <w:p w14:paraId="2FA5F0B9" w14:textId="77777777" w:rsidR="0002069A" w:rsidRPr="00E61AFF" w:rsidRDefault="0002069A" w:rsidP="00DD46C3">
            <w:pPr>
              <w:widowControl/>
              <w:autoSpaceDE/>
              <w:autoSpaceDN/>
              <w:jc w:val="both"/>
              <w:rPr>
                <w:rFonts w:eastAsia="Aptos"/>
                <w:sz w:val="18"/>
                <w:szCs w:val="18"/>
              </w:rPr>
            </w:pPr>
            <w:r w:rsidRPr="00E61AFF">
              <w:rPr>
                <w:rFonts w:eastAsia="Aptos"/>
                <w:b/>
                <w:bCs/>
                <w:sz w:val="18"/>
                <w:szCs w:val="18"/>
              </w:rPr>
              <w:t xml:space="preserve">DEOEyG </w:t>
            </w:r>
            <w:r w:rsidRPr="00E61AFF">
              <w:rPr>
                <w:rFonts w:eastAsia="Aptos"/>
                <w:sz w:val="18"/>
                <w:szCs w:val="18"/>
              </w:rPr>
              <w:t xml:space="preserve">Huizaches No. 25, Col. Rancho los Colorines, Tlalpan, C.P. 14386, Ciudad de México </w:t>
            </w:r>
          </w:p>
        </w:tc>
        <w:tc>
          <w:tcPr>
            <w:tcW w:w="1860" w:type="dxa"/>
            <w:vAlign w:val="center"/>
          </w:tcPr>
          <w:p w14:paraId="0C10A9A6" w14:textId="77777777" w:rsidR="0002069A" w:rsidRPr="00E61AFF" w:rsidRDefault="0002069A" w:rsidP="00DD46C3">
            <w:pPr>
              <w:widowControl/>
              <w:autoSpaceDE/>
              <w:autoSpaceDN/>
              <w:jc w:val="both"/>
              <w:rPr>
                <w:rFonts w:eastAsia="Aptos"/>
                <w:sz w:val="18"/>
                <w:szCs w:val="18"/>
              </w:rPr>
            </w:pPr>
            <w:r w:rsidRPr="00E61AFF">
              <w:rPr>
                <w:rFonts w:eastAsia="Aptos"/>
                <w:sz w:val="18"/>
                <w:szCs w:val="18"/>
              </w:rPr>
              <w:t>Las 24 horas del día.</w:t>
            </w:r>
          </w:p>
          <w:p w14:paraId="764900DF" w14:textId="77777777" w:rsidR="0002069A" w:rsidRPr="00E61AFF" w:rsidRDefault="0002069A" w:rsidP="00DD46C3">
            <w:pPr>
              <w:widowControl/>
              <w:autoSpaceDE/>
              <w:autoSpaceDN/>
              <w:jc w:val="both"/>
              <w:rPr>
                <w:rFonts w:eastAsia="Aptos"/>
                <w:sz w:val="18"/>
                <w:szCs w:val="18"/>
              </w:rPr>
            </w:pPr>
            <w:r w:rsidRPr="00E61AFF">
              <w:rPr>
                <w:rFonts w:eastAsia="Aptos"/>
                <w:sz w:val="18"/>
                <w:szCs w:val="18"/>
              </w:rPr>
              <w:t>El último día para la capacitación (17 de abril de 2026) el sistema cerrará a las 23:59 horas.</w:t>
            </w:r>
          </w:p>
          <w:p w14:paraId="69B3545C" w14:textId="77777777" w:rsidR="0002069A" w:rsidRPr="00E61AFF" w:rsidRDefault="0002069A" w:rsidP="00DD46C3">
            <w:pPr>
              <w:widowControl/>
              <w:autoSpaceDE/>
              <w:autoSpaceDN/>
              <w:spacing w:after="160"/>
              <w:jc w:val="both"/>
              <w:rPr>
                <w:rFonts w:eastAsia="Aptos"/>
                <w:sz w:val="18"/>
                <w:szCs w:val="18"/>
              </w:rPr>
            </w:pPr>
            <w:r w:rsidRPr="00E61AFF">
              <w:rPr>
                <w:rFonts w:eastAsia="Aptos"/>
                <w:sz w:val="18"/>
                <w:szCs w:val="18"/>
              </w:rPr>
              <w:t xml:space="preserve">El lugar es en el módulo de capacitación del Sistema de Observación para la Consulta de Presupuesto Participativo 2025 (SIOPC). </w:t>
            </w:r>
          </w:p>
        </w:tc>
        <w:tc>
          <w:tcPr>
            <w:tcW w:w="1465" w:type="dxa"/>
            <w:vAlign w:val="center"/>
          </w:tcPr>
          <w:p w14:paraId="1FB83640" w14:textId="77777777" w:rsidR="0002069A" w:rsidRPr="00E61AFF" w:rsidRDefault="0002069A" w:rsidP="00DD46C3">
            <w:pPr>
              <w:widowControl/>
              <w:autoSpaceDE/>
              <w:autoSpaceDN/>
              <w:jc w:val="both"/>
              <w:rPr>
                <w:rFonts w:eastAsia="Aptos"/>
                <w:sz w:val="18"/>
                <w:szCs w:val="18"/>
              </w:rPr>
            </w:pPr>
            <w:r w:rsidRPr="00E61AFF">
              <w:rPr>
                <w:rFonts w:eastAsia="Aptos"/>
                <w:sz w:val="18"/>
                <w:szCs w:val="18"/>
              </w:rPr>
              <w:t xml:space="preserve">La duración aproximada es de dos horas. </w:t>
            </w:r>
          </w:p>
        </w:tc>
      </w:tr>
    </w:tbl>
    <w:p w14:paraId="668BCC23" w14:textId="77777777" w:rsidR="0002069A" w:rsidRDefault="0002069A"/>
    <w:sectPr w:rsidR="000206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E66D" w14:textId="77777777" w:rsidR="00133B75" w:rsidRDefault="00133B75" w:rsidP="0002069A">
      <w:r>
        <w:separator/>
      </w:r>
    </w:p>
  </w:endnote>
  <w:endnote w:type="continuationSeparator" w:id="0">
    <w:p w14:paraId="4B91921A" w14:textId="77777777" w:rsidR="00133B75" w:rsidRDefault="00133B75" w:rsidP="0002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DA5C" w14:textId="77777777" w:rsidR="00133B75" w:rsidRDefault="00133B75" w:rsidP="0002069A">
      <w:r>
        <w:separator/>
      </w:r>
    </w:p>
  </w:footnote>
  <w:footnote w:type="continuationSeparator" w:id="0">
    <w:p w14:paraId="1F5CF795" w14:textId="77777777" w:rsidR="00133B75" w:rsidRDefault="00133B75" w:rsidP="0002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11E01"/>
    <w:multiLevelType w:val="hybridMultilevel"/>
    <w:tmpl w:val="85D0D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8424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9A"/>
    <w:rsid w:val="0002069A"/>
    <w:rsid w:val="00094014"/>
    <w:rsid w:val="00133B75"/>
    <w:rsid w:val="002428D0"/>
    <w:rsid w:val="004F551E"/>
    <w:rsid w:val="005571F8"/>
    <w:rsid w:val="00583CDE"/>
    <w:rsid w:val="009F7FB4"/>
    <w:rsid w:val="00A635E7"/>
    <w:rsid w:val="00BC535F"/>
    <w:rsid w:val="00E819B2"/>
    <w:rsid w:val="00FC7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52579"/>
  <w15:chartTrackingRefBased/>
  <w15:docId w15:val="{63D41ABE-1E39-44DE-8791-7F6CD25E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069A"/>
    <w:pPr>
      <w:widowControl w:val="0"/>
      <w:autoSpaceDE w:val="0"/>
      <w:autoSpaceDN w:val="0"/>
      <w:spacing w:after="0" w:line="240" w:lineRule="auto"/>
    </w:pPr>
    <w:rPr>
      <w:rFonts w:ascii="Arial" w:eastAsia="Arial" w:hAnsi="Arial" w:cs="Arial"/>
      <w:kern w:val="0"/>
      <w:sz w:val="22"/>
      <w:szCs w:val="22"/>
      <w14:ligatures w14:val="none"/>
    </w:rPr>
  </w:style>
  <w:style w:type="paragraph" w:styleId="Ttulo1">
    <w:name w:val="heading 1"/>
    <w:basedOn w:val="Normal"/>
    <w:next w:val="Normal"/>
    <w:link w:val="Ttulo1Car"/>
    <w:uiPriority w:val="9"/>
    <w:qFormat/>
    <w:rsid w:val="00020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0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06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06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06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069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069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069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069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06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06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06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06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06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06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06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06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069A"/>
    <w:rPr>
      <w:rFonts w:eastAsiaTheme="majorEastAsia" w:cstheme="majorBidi"/>
      <w:color w:val="272727" w:themeColor="text1" w:themeTint="D8"/>
    </w:rPr>
  </w:style>
  <w:style w:type="paragraph" w:styleId="Ttulo">
    <w:name w:val="Title"/>
    <w:basedOn w:val="Normal"/>
    <w:next w:val="Normal"/>
    <w:link w:val="TtuloCar"/>
    <w:uiPriority w:val="10"/>
    <w:qFormat/>
    <w:rsid w:val="0002069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06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06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06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069A"/>
    <w:pPr>
      <w:spacing w:before="160"/>
      <w:jc w:val="center"/>
    </w:pPr>
    <w:rPr>
      <w:i/>
      <w:iCs/>
      <w:color w:val="404040" w:themeColor="text1" w:themeTint="BF"/>
    </w:rPr>
  </w:style>
  <w:style w:type="character" w:customStyle="1" w:styleId="CitaCar">
    <w:name w:val="Cita Car"/>
    <w:basedOn w:val="Fuentedeprrafopredeter"/>
    <w:link w:val="Cita"/>
    <w:uiPriority w:val="29"/>
    <w:rsid w:val="0002069A"/>
    <w:rPr>
      <w:i/>
      <w:iCs/>
      <w:color w:val="404040" w:themeColor="text1" w:themeTint="BF"/>
    </w:rPr>
  </w:style>
  <w:style w:type="paragraph" w:styleId="Prrafodelista">
    <w:name w:val="List Paragraph"/>
    <w:basedOn w:val="Normal"/>
    <w:uiPriority w:val="34"/>
    <w:qFormat/>
    <w:rsid w:val="0002069A"/>
    <w:pPr>
      <w:ind w:left="720"/>
      <w:contextualSpacing/>
    </w:pPr>
  </w:style>
  <w:style w:type="character" w:styleId="nfasisintenso">
    <w:name w:val="Intense Emphasis"/>
    <w:basedOn w:val="Fuentedeprrafopredeter"/>
    <w:uiPriority w:val="21"/>
    <w:qFormat/>
    <w:rsid w:val="0002069A"/>
    <w:rPr>
      <w:i/>
      <w:iCs/>
      <w:color w:val="0F4761" w:themeColor="accent1" w:themeShade="BF"/>
    </w:rPr>
  </w:style>
  <w:style w:type="paragraph" w:styleId="Citadestacada">
    <w:name w:val="Intense Quote"/>
    <w:basedOn w:val="Normal"/>
    <w:next w:val="Normal"/>
    <w:link w:val="CitadestacadaCar"/>
    <w:uiPriority w:val="30"/>
    <w:qFormat/>
    <w:rsid w:val="00020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069A"/>
    <w:rPr>
      <w:i/>
      <w:iCs/>
      <w:color w:val="0F4761" w:themeColor="accent1" w:themeShade="BF"/>
    </w:rPr>
  </w:style>
  <w:style w:type="character" w:styleId="Referenciaintensa">
    <w:name w:val="Intense Reference"/>
    <w:basedOn w:val="Fuentedeprrafopredeter"/>
    <w:uiPriority w:val="32"/>
    <w:qFormat/>
    <w:rsid w:val="0002069A"/>
    <w:rPr>
      <w:b/>
      <w:bCs/>
      <w:smallCaps/>
      <w:color w:val="0F4761" w:themeColor="accent1" w:themeShade="BF"/>
      <w:spacing w:val="5"/>
    </w:rPr>
  </w:style>
  <w:style w:type="paragraph" w:styleId="NormalWeb">
    <w:name w:val="Normal (Web)"/>
    <w:basedOn w:val="Normal"/>
    <w:uiPriority w:val="99"/>
    <w:semiHidden/>
    <w:unhideWhenUsed/>
    <w:rsid w:val="0002069A"/>
    <w:rPr>
      <w:rFonts w:ascii="Times New Roman" w:hAnsi="Times New Roman" w:cs="Times New Roman"/>
      <w:sz w:val="24"/>
      <w:szCs w:val="24"/>
    </w:rPr>
  </w:style>
  <w:style w:type="table" w:customStyle="1" w:styleId="Tablaconcuadrcula2">
    <w:name w:val="Tabla con cuadrícula2"/>
    <w:basedOn w:val="Tablanormal"/>
    <w:next w:val="Tablaconcuadrcula"/>
    <w:uiPriority w:val="39"/>
    <w:rsid w:val="0002069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20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2069A"/>
    <w:pPr>
      <w:tabs>
        <w:tab w:val="center" w:pos="4419"/>
        <w:tab w:val="right" w:pos="8838"/>
      </w:tabs>
    </w:pPr>
  </w:style>
  <w:style w:type="character" w:customStyle="1" w:styleId="EncabezadoCar">
    <w:name w:val="Encabezado Car"/>
    <w:basedOn w:val="Fuentedeprrafopredeter"/>
    <w:link w:val="Encabezado"/>
    <w:uiPriority w:val="99"/>
    <w:rsid w:val="0002069A"/>
    <w:rPr>
      <w:rFonts w:ascii="Arial" w:eastAsia="Arial" w:hAnsi="Arial" w:cs="Arial"/>
      <w:kern w:val="0"/>
      <w:sz w:val="22"/>
      <w:szCs w:val="22"/>
      <w14:ligatures w14:val="none"/>
    </w:rPr>
  </w:style>
  <w:style w:type="paragraph" w:styleId="Piedepgina">
    <w:name w:val="footer"/>
    <w:basedOn w:val="Normal"/>
    <w:link w:val="PiedepginaCar"/>
    <w:uiPriority w:val="99"/>
    <w:unhideWhenUsed/>
    <w:rsid w:val="0002069A"/>
    <w:pPr>
      <w:tabs>
        <w:tab w:val="center" w:pos="4419"/>
        <w:tab w:val="right" w:pos="8838"/>
      </w:tabs>
    </w:pPr>
  </w:style>
  <w:style w:type="character" w:customStyle="1" w:styleId="PiedepginaCar">
    <w:name w:val="Pie de página Car"/>
    <w:basedOn w:val="Fuentedeprrafopredeter"/>
    <w:link w:val="Piedepgina"/>
    <w:uiPriority w:val="99"/>
    <w:rsid w:val="0002069A"/>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1817</Characters>
  <Application>Microsoft Office Word</Application>
  <DocSecurity>0</DocSecurity>
  <Lines>62</Lines>
  <Paragraphs>22</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Vega Bolaños</dc:creator>
  <cp:keywords/>
  <dc:description/>
  <cp:lastModifiedBy>Cindy Magaly Villa Avila</cp:lastModifiedBy>
  <cp:revision>4</cp:revision>
  <dcterms:created xsi:type="dcterms:W3CDTF">2026-01-28T20:47:00Z</dcterms:created>
  <dcterms:modified xsi:type="dcterms:W3CDTF">2026-01-29T03:43:00Z</dcterms:modified>
</cp:coreProperties>
</file>