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20FE00C6" w:rsidR="0002312C" w:rsidRPr="00686D2C" w:rsidRDefault="00C37F19" w:rsidP="006D2C8F">
            <w:pPr>
              <w:rPr>
                <w:rFonts w:cstheme="minorHAnsi"/>
                <w:sz w:val="20"/>
                <w:szCs w:val="20"/>
              </w:rPr>
            </w:pPr>
            <w:r>
              <w:rPr>
                <w:rFonts w:cstheme="minorHAnsi"/>
                <w:sz w:val="20"/>
                <w:szCs w:val="20"/>
              </w:rPr>
              <w:t>26</w:t>
            </w:r>
            <w:r w:rsidR="00E93DBD">
              <w:rPr>
                <w:rFonts w:cstheme="minorHAnsi"/>
                <w:sz w:val="20"/>
                <w:szCs w:val="20"/>
              </w:rPr>
              <w:t xml:space="preserve"> </w:t>
            </w:r>
            <w:r w:rsidR="00DA60A2" w:rsidRPr="00686D2C">
              <w:rPr>
                <w:rFonts w:cstheme="minorHAnsi"/>
                <w:sz w:val="20"/>
                <w:szCs w:val="20"/>
              </w:rPr>
              <w:t>de</w:t>
            </w:r>
            <w:r w:rsidR="004D5534">
              <w:rPr>
                <w:rFonts w:cstheme="minorHAnsi"/>
                <w:sz w:val="20"/>
                <w:szCs w:val="20"/>
              </w:rPr>
              <w:t xml:space="preserve"> </w:t>
            </w:r>
            <w:r w:rsidR="008E57F7">
              <w:rPr>
                <w:rFonts w:cstheme="minorHAnsi"/>
                <w:sz w:val="20"/>
                <w:szCs w:val="20"/>
              </w:rPr>
              <w:t>marzo</w:t>
            </w:r>
            <w:r w:rsidR="004D5534">
              <w:rPr>
                <w:rFonts w:cstheme="minorHAnsi"/>
                <w:sz w:val="20"/>
                <w:szCs w:val="20"/>
              </w:rPr>
              <w:t xml:space="preserve"> </w:t>
            </w:r>
            <w:r w:rsidR="00DA60A2" w:rsidRPr="00686D2C">
              <w:rPr>
                <w:rFonts w:cstheme="minorHAnsi"/>
                <w:sz w:val="20"/>
                <w:szCs w:val="20"/>
              </w:rPr>
              <w:t>del 202</w:t>
            </w:r>
            <w:r w:rsidR="00E11553">
              <w:rPr>
                <w:rFonts w:cstheme="minorHAnsi"/>
                <w:sz w:val="20"/>
                <w:szCs w:val="20"/>
              </w:rPr>
              <w:t>4</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5B6C0E"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64FADA8E" w:rsidR="005B6C0E" w:rsidRPr="00686D2C" w:rsidRDefault="00C37F19" w:rsidP="005B6C0E">
            <w:pPr>
              <w:rPr>
                <w:rFonts w:cstheme="minorHAnsi"/>
                <w:sz w:val="20"/>
                <w:szCs w:val="20"/>
              </w:rPr>
            </w:pPr>
            <w:r>
              <w:rPr>
                <w:rFonts w:cstheme="minorHAnsi"/>
                <w:sz w:val="20"/>
                <w:szCs w:val="20"/>
              </w:rPr>
              <w:t>21</w:t>
            </w:r>
            <w:r w:rsidR="00A605FA">
              <w:rPr>
                <w:rFonts w:cstheme="minorHAnsi"/>
                <w:sz w:val="20"/>
                <w:szCs w:val="20"/>
              </w:rPr>
              <w:t xml:space="preserve"> </w:t>
            </w:r>
            <w:r w:rsidR="005B6C0E" w:rsidRPr="00686D2C">
              <w:rPr>
                <w:rFonts w:cstheme="minorHAnsi"/>
                <w:sz w:val="20"/>
                <w:szCs w:val="20"/>
              </w:rPr>
              <w:t>de</w:t>
            </w:r>
            <w:r w:rsidR="005B6C0E">
              <w:rPr>
                <w:rFonts w:cstheme="minorHAnsi"/>
                <w:sz w:val="20"/>
                <w:szCs w:val="20"/>
              </w:rPr>
              <w:t xml:space="preserve"> </w:t>
            </w:r>
            <w:r w:rsidR="008E57F7">
              <w:rPr>
                <w:rFonts w:cstheme="minorHAnsi"/>
                <w:sz w:val="20"/>
                <w:szCs w:val="20"/>
              </w:rPr>
              <w:t>marzo</w:t>
            </w:r>
            <w:r w:rsidR="005B6C0E">
              <w:rPr>
                <w:rFonts w:cstheme="minorHAnsi"/>
                <w:sz w:val="20"/>
                <w:szCs w:val="20"/>
              </w:rPr>
              <w:t xml:space="preserve"> </w:t>
            </w:r>
            <w:r w:rsidR="005B6C0E" w:rsidRPr="00686D2C">
              <w:rPr>
                <w:rFonts w:cstheme="minorHAnsi"/>
                <w:sz w:val="20"/>
                <w:szCs w:val="20"/>
              </w:rPr>
              <w:t>del 202</w:t>
            </w:r>
            <w:r w:rsidR="005A0108">
              <w:rPr>
                <w:rFonts w:cstheme="minorHAnsi"/>
                <w:sz w:val="20"/>
                <w:szCs w:val="20"/>
              </w:rPr>
              <w:t>4</w:t>
            </w:r>
            <w:r w:rsidR="005B6C0E" w:rsidRPr="00686D2C">
              <w:rPr>
                <w:rFonts w:cstheme="minorHAnsi"/>
                <w:sz w:val="20"/>
                <w:szCs w:val="20"/>
              </w:rPr>
              <w:t xml:space="preserve">.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6C0C7783"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BE1E2B">
              <w:rPr>
                <w:rFonts w:cstheme="minorHAnsi"/>
                <w:color w:val="000000" w:themeColor="text1"/>
                <w:sz w:val="20"/>
                <w:szCs w:val="20"/>
              </w:rPr>
              <w:t>elegir</w:t>
            </w:r>
            <w:r w:rsidR="00707AB5" w:rsidRPr="00686D2C">
              <w:rPr>
                <w:rFonts w:cstheme="minorHAnsi"/>
                <w:color w:val="000000" w:themeColor="text1"/>
                <w:sz w:val="20"/>
                <w:szCs w:val="20"/>
              </w:rPr>
              <w:t xml:space="preserve"> </w:t>
            </w:r>
            <w:r w:rsidR="001076DC">
              <w:rPr>
                <w:rFonts w:cstheme="minorHAnsi"/>
                <w:color w:val="000000" w:themeColor="text1"/>
                <w:sz w:val="20"/>
                <w:szCs w:val="20"/>
              </w:rPr>
              <w:t>Jefe de Gobierno</w:t>
            </w:r>
            <w:r w:rsidR="00797FC0">
              <w:rPr>
                <w:rFonts w:cstheme="minorHAnsi"/>
                <w:color w:val="000000" w:themeColor="text1"/>
                <w:sz w:val="20"/>
                <w:szCs w:val="20"/>
              </w:rPr>
              <w:t xml:space="preserve"> en</w:t>
            </w:r>
            <w:r w:rsidR="001076DC">
              <w:rPr>
                <w:rFonts w:cstheme="minorHAnsi"/>
                <w:color w:val="000000" w:themeColor="text1"/>
                <w:sz w:val="20"/>
                <w:szCs w:val="20"/>
              </w:rPr>
              <w:t xml:space="preserve"> la</w:t>
            </w:r>
            <w:r w:rsidR="00797FC0">
              <w:rPr>
                <w:rFonts w:cstheme="minorHAnsi"/>
                <w:color w:val="000000" w:themeColor="text1"/>
                <w:sz w:val="20"/>
                <w:szCs w:val="20"/>
              </w:rPr>
              <w:t xml:space="preserve"> </w:t>
            </w:r>
            <w:r w:rsidR="001076DC">
              <w:rPr>
                <w:rFonts w:cstheme="minorHAnsi"/>
                <w:color w:val="000000" w:themeColor="text1"/>
                <w:sz w:val="20"/>
                <w:szCs w:val="20"/>
              </w:rPr>
              <w:t>Ciudad de México</w:t>
            </w:r>
            <w:r w:rsidR="00797FC0">
              <w:rPr>
                <w:rFonts w:cstheme="minorHAnsi"/>
                <w:color w:val="000000" w:themeColor="text1"/>
                <w:sz w:val="20"/>
                <w:szCs w:val="20"/>
              </w:rPr>
              <w:t xml:space="preserve"> </w:t>
            </w:r>
            <w:r w:rsidR="00BE1E2B">
              <w:rPr>
                <w:rFonts w:cstheme="minorHAnsi"/>
                <w:color w:val="000000" w:themeColor="text1"/>
                <w:sz w:val="20"/>
                <w:szCs w:val="20"/>
              </w:rPr>
              <w:t>2024.</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1336C577"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 xml:space="preserve">de </w:t>
            </w:r>
            <w:r w:rsidR="001076DC">
              <w:rPr>
                <w:rFonts w:cstheme="minorHAnsi"/>
                <w:color w:val="000000"/>
                <w:sz w:val="20"/>
                <w:szCs w:val="20"/>
                <w:shd w:val="clear" w:color="auto" w:fill="FFFFFF"/>
              </w:rPr>
              <w:t>la Ciudad de México</w:t>
            </w:r>
            <w:r w:rsidR="00797FC0">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3740E1C7" w:rsidR="0002312C" w:rsidRPr="00686D2C" w:rsidRDefault="0002312C" w:rsidP="006D2C8F">
            <w:pPr>
              <w:jc w:val="both"/>
              <w:rPr>
                <w:rFonts w:cstheme="minorHAnsi"/>
                <w:sz w:val="20"/>
                <w:szCs w:val="20"/>
              </w:rPr>
            </w:pPr>
            <w:r w:rsidRPr="00686D2C">
              <w:rPr>
                <w:rFonts w:cstheme="minorHAnsi"/>
                <w:color w:val="000000" w:themeColor="text1"/>
                <w:sz w:val="20"/>
                <w:szCs w:val="20"/>
              </w:rPr>
              <w:t xml:space="preserve">La población objetivo de la encuesta son los ciudadanos adultos (mayores de 18 años) </w:t>
            </w:r>
            <w:r w:rsidR="00D36097" w:rsidRPr="00686D2C">
              <w:rPr>
                <w:rFonts w:cstheme="minorHAnsi"/>
                <w:color w:val="000000" w:themeColor="text1"/>
                <w:sz w:val="20"/>
                <w:szCs w:val="20"/>
              </w:rPr>
              <w:t>d</w:t>
            </w:r>
            <w:r w:rsidR="004A7A67">
              <w:rPr>
                <w:rFonts w:cstheme="minorHAnsi"/>
                <w:color w:val="000000" w:themeColor="text1"/>
                <w:sz w:val="20"/>
                <w:szCs w:val="20"/>
              </w:rPr>
              <w:t>e</w:t>
            </w:r>
            <w:r w:rsidR="001076DC">
              <w:rPr>
                <w:rFonts w:cstheme="minorHAnsi"/>
                <w:color w:val="000000" w:themeColor="text1"/>
                <w:sz w:val="20"/>
                <w:szCs w:val="20"/>
              </w:rPr>
              <w:t xml:space="preserve"> la Ciudad de México</w:t>
            </w:r>
            <w:r w:rsidRPr="00686D2C">
              <w:rPr>
                <w:rFonts w:cstheme="minorHAnsi"/>
                <w:color w:val="000000" w:themeColor="text1"/>
                <w:sz w:val="20"/>
                <w:szCs w:val="20"/>
              </w:rPr>
              <w:t>. La muestra utilizada en el estudio está diseñada para reflejar las características de esa población, en términos de su distribución geográfica,</w:t>
            </w:r>
            <w:r w:rsidR="008E57F7">
              <w:rPr>
                <w:rFonts w:cstheme="minorHAnsi"/>
                <w:color w:val="000000" w:themeColor="text1"/>
                <w:sz w:val="20"/>
                <w:szCs w:val="20"/>
              </w:rPr>
              <w:t xml:space="preserve"> </w:t>
            </w:r>
            <w:r w:rsidRPr="00686D2C">
              <w:rPr>
                <w:rFonts w:cstheme="minorHAnsi"/>
                <w:color w:val="000000" w:themeColor="text1"/>
                <w:sz w:val="20"/>
                <w:szCs w:val="20"/>
              </w:rPr>
              <w:t>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0625E3B4"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08F25A2" w:rsidR="0002312C" w:rsidRPr="00686D2C" w:rsidRDefault="00D36097" w:rsidP="006D2C8F">
            <w:pPr>
              <w:rPr>
                <w:rFonts w:cstheme="minorHAnsi"/>
                <w:sz w:val="20"/>
                <w:szCs w:val="20"/>
              </w:rPr>
            </w:pPr>
            <w:r w:rsidRPr="00686D2C">
              <w:rPr>
                <w:rFonts w:cstheme="minorHAnsi"/>
                <w:color w:val="000000" w:themeColor="text1"/>
                <w:sz w:val="20"/>
                <w:szCs w:val="20"/>
              </w:rPr>
              <w:t>1000</w:t>
            </w:r>
            <w:r w:rsidR="0002312C" w:rsidRPr="00686D2C">
              <w:rPr>
                <w:rFonts w:cstheme="minorHAnsi"/>
                <w:color w:val="000000" w:themeColor="text1"/>
                <w:sz w:val="20"/>
                <w:szCs w:val="20"/>
              </w:rPr>
              <w:t xml:space="preserve"> muestras, números telefónicos pertenecientes a la región geográfica </w:t>
            </w:r>
            <w:r w:rsidR="00797FC0">
              <w:rPr>
                <w:rFonts w:cstheme="minorHAnsi"/>
                <w:color w:val="000000" w:themeColor="text1"/>
                <w:sz w:val="20"/>
                <w:szCs w:val="20"/>
              </w:rPr>
              <w:t xml:space="preserve">de </w:t>
            </w:r>
            <w:r w:rsidR="001076DC">
              <w:rPr>
                <w:rFonts w:cstheme="minorHAnsi"/>
                <w:color w:val="000000" w:themeColor="text1"/>
                <w:sz w:val="20"/>
                <w:szCs w:val="20"/>
              </w:rPr>
              <w:t>la Ciudad de México</w:t>
            </w:r>
            <w:r w:rsidR="00797FC0">
              <w:rPr>
                <w:rFonts w:cstheme="minorHAnsi"/>
                <w:color w:val="000000" w:themeColor="text1"/>
                <w:sz w:val="20"/>
                <w:szCs w:val="20"/>
              </w:rPr>
              <w:t xml:space="preserve">. </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6CFFEA7E" w:rsidR="007D288C" w:rsidRPr="00686D2C" w:rsidRDefault="00C37F19" w:rsidP="006D2C8F">
            <w:pPr>
              <w:rPr>
                <w:rFonts w:cstheme="minorHAnsi"/>
                <w:sz w:val="20"/>
                <w:szCs w:val="20"/>
              </w:rPr>
            </w:pPr>
            <w:r>
              <w:rPr>
                <w:rFonts w:cstheme="minorHAnsi"/>
                <w:sz w:val="20"/>
                <w:szCs w:val="20"/>
              </w:rPr>
              <w:t>20</w:t>
            </w:r>
            <w:r w:rsidR="005B6C0E">
              <w:rPr>
                <w:rFonts w:cstheme="minorHAnsi"/>
                <w:sz w:val="20"/>
                <w:szCs w:val="20"/>
              </w:rPr>
              <w:t xml:space="preserve"> de </w:t>
            </w:r>
            <w:r w:rsidR="00FA30E6">
              <w:rPr>
                <w:rFonts w:cstheme="minorHAnsi"/>
                <w:sz w:val="20"/>
                <w:szCs w:val="20"/>
              </w:rPr>
              <w:t>marzo</w:t>
            </w:r>
            <w:r w:rsidR="005B6C0E">
              <w:rPr>
                <w:rFonts w:cstheme="minorHAnsi"/>
                <w:sz w:val="20"/>
                <w:szCs w:val="20"/>
              </w:rPr>
              <w:t xml:space="preserve"> del </w:t>
            </w:r>
            <w:r w:rsidR="00DA60A2" w:rsidRPr="00686D2C">
              <w:rPr>
                <w:rFonts w:cstheme="minorHAnsi"/>
                <w:sz w:val="20"/>
                <w:szCs w:val="20"/>
              </w:rPr>
              <w:t>202</w:t>
            </w:r>
            <w:r w:rsidR="005A0108">
              <w:rPr>
                <w:rFonts w:cstheme="minorHAnsi"/>
                <w:sz w:val="20"/>
                <w:szCs w:val="20"/>
              </w:rPr>
              <w:t>4</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29EC048"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5604E8F8" w14:textId="02156A44" w:rsidR="00123A2D" w:rsidRPr="00686D2C" w:rsidRDefault="007D288C" w:rsidP="00123A2D">
            <w:pPr>
              <w:rPr>
                <w:rFonts w:cstheme="minorHAnsi"/>
                <w:sz w:val="20"/>
                <w:szCs w:val="20"/>
              </w:rPr>
            </w:pPr>
            <w:r w:rsidRPr="00686D2C">
              <w:rPr>
                <w:rFonts w:cstheme="minorHAnsi"/>
                <w:sz w:val="20"/>
                <w:szCs w:val="20"/>
              </w:rPr>
              <w:t>Encuesta:</w:t>
            </w:r>
          </w:p>
          <w:p w14:paraId="5ABAAF1D" w14:textId="77777777" w:rsidR="005B6C0E" w:rsidRPr="00875FE5" w:rsidRDefault="00C85710" w:rsidP="00875FE5">
            <w:pPr>
              <w:pStyle w:val="Prrafodelista"/>
              <w:numPr>
                <w:ilvl w:val="0"/>
                <w:numId w:val="1"/>
              </w:numPr>
              <w:autoSpaceDE w:val="0"/>
              <w:autoSpaceDN w:val="0"/>
              <w:adjustRightInd w:val="0"/>
              <w:rPr>
                <w:rFonts w:cstheme="minorHAnsi"/>
                <w:sz w:val="20"/>
                <w:szCs w:val="20"/>
              </w:rPr>
            </w:pPr>
            <w:r w:rsidRPr="00C85710">
              <w:rPr>
                <w:rFonts w:cstheme="minorHAnsi"/>
                <w:sz w:val="20"/>
                <w:szCs w:val="20"/>
              </w:rPr>
              <w:t>SI EL DÍA DE HOY FUERAN LAS ELECCIONES PARA ELEGIR JEFE DE GOBIERNO,</w:t>
            </w:r>
            <w:r>
              <w:rPr>
                <w:rFonts w:cstheme="minorHAnsi"/>
                <w:sz w:val="20"/>
                <w:szCs w:val="20"/>
              </w:rPr>
              <w:t xml:space="preserve"> </w:t>
            </w:r>
            <w:r w:rsidRPr="00C85710">
              <w:rPr>
                <w:rFonts w:cstheme="minorHAnsi"/>
                <w:sz w:val="20"/>
                <w:szCs w:val="20"/>
              </w:rPr>
              <w:t>¿POR CUÁL DE LOS SIGUIENTES PARTIDOS O CANDIDATOS VOTARÍA USTED?</w:t>
            </w:r>
            <w:r>
              <w:rPr>
                <w:rFonts w:cstheme="minorHAnsi"/>
                <w:sz w:val="20"/>
                <w:szCs w:val="20"/>
              </w:rPr>
              <w:t xml:space="preserve"> </w:t>
            </w:r>
            <w:r w:rsidR="00123A2D" w:rsidRPr="00C85710">
              <w:rPr>
                <w:rFonts w:cstheme="minorHAnsi"/>
                <w:sz w:val="20"/>
                <w:szCs w:val="20"/>
              </w:rPr>
              <w:t>(</w:t>
            </w:r>
            <w:r w:rsidR="00123A2D" w:rsidRPr="00C85710">
              <w:rPr>
                <w:rFonts w:cstheme="minorHAnsi"/>
                <w:color w:val="7F7F7F" w:themeColor="text1" w:themeTint="80"/>
                <w:sz w:val="20"/>
                <w:szCs w:val="20"/>
              </w:rPr>
              <w:t>resultados de le encuesta en la imagen).</w:t>
            </w:r>
          </w:p>
          <w:p w14:paraId="6908A721" w14:textId="126A1FC2" w:rsidR="00875FE5" w:rsidRPr="00875FE5" w:rsidRDefault="00C37F19" w:rsidP="0030768B">
            <w:pPr>
              <w:autoSpaceDE w:val="0"/>
              <w:autoSpaceDN w:val="0"/>
              <w:adjustRightInd w:val="0"/>
              <w:rPr>
                <w:rFonts w:cstheme="minorHAnsi"/>
                <w:sz w:val="20"/>
                <w:szCs w:val="20"/>
              </w:rPr>
            </w:pPr>
            <w:r w:rsidRPr="00C37F19">
              <w:rPr>
                <w:rFonts w:cstheme="minorHAnsi"/>
                <w:sz w:val="20"/>
                <w:szCs w:val="20"/>
              </w:rPr>
              <w:drawing>
                <wp:inline distT="0" distB="0" distL="0" distR="0" wp14:anchorId="0C510177" wp14:editId="1AB1D73F">
                  <wp:extent cx="4632960" cy="1627505"/>
                  <wp:effectExtent l="0" t="0" r="0" b="0"/>
                  <wp:docPr id="197363313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3633139" name=""/>
                          <pic:cNvPicPr/>
                        </pic:nvPicPr>
                        <pic:blipFill>
                          <a:blip r:embed="rId8"/>
                          <a:stretch>
                            <a:fillRect/>
                          </a:stretch>
                        </pic:blipFill>
                        <pic:spPr>
                          <a:xfrm>
                            <a:off x="0" y="0"/>
                            <a:ext cx="4632960" cy="1627505"/>
                          </a:xfrm>
                          <a:prstGeom prst="rect">
                            <a:avLst/>
                          </a:prstGeom>
                        </pic:spPr>
                      </pic:pic>
                    </a:graphicData>
                  </a:graphic>
                </wp:inline>
              </w:drawing>
            </w: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5ED79056"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375E5A" w:rsidRPr="00686D2C">
              <w:rPr>
                <w:rFonts w:cstheme="minorHAnsi"/>
                <w:color w:val="000000" w:themeColor="text1"/>
                <w:sz w:val="20"/>
                <w:szCs w:val="20"/>
              </w:rPr>
              <w:t>10</w:t>
            </w:r>
            <w:r w:rsidR="00707AB5" w:rsidRPr="00686D2C">
              <w:rPr>
                <w:rFonts w:cstheme="minorHAnsi"/>
                <w:color w:val="000000" w:themeColor="text1"/>
                <w:sz w:val="20"/>
                <w:szCs w:val="20"/>
              </w:rPr>
              <w:t>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6628160D" w:rsidR="006D2C8F" w:rsidRPr="00686D2C" w:rsidRDefault="006D2C8F" w:rsidP="006D2C8F">
            <w:pPr>
              <w:rPr>
                <w:rFonts w:cstheme="minorHAnsi"/>
                <w:sz w:val="20"/>
                <w:szCs w:val="20"/>
              </w:rPr>
            </w:pPr>
            <w:r w:rsidRPr="00686D2C">
              <w:rPr>
                <w:rFonts w:cstheme="minorHAnsi"/>
                <w:sz w:val="20"/>
                <w:szCs w:val="20"/>
              </w:rPr>
              <w:t>Por</w:t>
            </w:r>
            <w:r w:rsidR="00A5257C" w:rsidRPr="00686D2C">
              <w:rPr>
                <w:rFonts w:cstheme="minorHAnsi"/>
                <w:sz w:val="20"/>
                <w:szCs w:val="20"/>
              </w:rPr>
              <w:t xml:space="preserve"> candidatos </w:t>
            </w:r>
            <w:r w:rsidRPr="00686D2C">
              <w:rPr>
                <w:rFonts w:cstheme="minorHAnsi"/>
                <w:sz w:val="20"/>
                <w:szCs w:val="20"/>
              </w:rPr>
              <w:t>a</w:t>
            </w:r>
            <w:r w:rsidR="00375E5A" w:rsidRPr="00686D2C">
              <w:rPr>
                <w:rFonts w:cstheme="minorHAnsi"/>
                <w:sz w:val="20"/>
                <w:szCs w:val="20"/>
              </w:rPr>
              <w:t xml:space="preserve"> </w:t>
            </w:r>
            <w:r w:rsidR="005B6C0E">
              <w:rPr>
                <w:rFonts w:cstheme="minorHAnsi"/>
                <w:sz w:val="20"/>
                <w:szCs w:val="20"/>
              </w:rPr>
              <w:t>Jefe de Gobierno en la Ciudad de México</w:t>
            </w:r>
            <w:r w:rsidR="00686D2C">
              <w:rPr>
                <w:rFonts w:cstheme="minorHAnsi"/>
                <w:sz w:val="20"/>
                <w:szCs w:val="20"/>
              </w:rPr>
              <w:t>.</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9"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9F73B9" w:rsidRDefault="009F73B9" w:rsidP="00375E5A"/>
    <w:sectPr w:rsidR="009F73B9">
      <w:head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4FC892" w14:textId="77777777" w:rsidR="002A115C" w:rsidRDefault="002A115C" w:rsidP="006D2C8F">
      <w:r>
        <w:separator/>
      </w:r>
    </w:p>
  </w:endnote>
  <w:endnote w:type="continuationSeparator" w:id="0">
    <w:p w14:paraId="4D3ECB3E" w14:textId="77777777" w:rsidR="002A115C" w:rsidRDefault="002A115C"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2D0938" w14:textId="77777777" w:rsidR="002A115C" w:rsidRDefault="002A115C" w:rsidP="006D2C8F">
      <w:r>
        <w:separator/>
      </w:r>
    </w:p>
  </w:footnote>
  <w:footnote w:type="continuationSeparator" w:id="0">
    <w:p w14:paraId="4EDBC377" w14:textId="77777777" w:rsidR="002A115C" w:rsidRDefault="002A115C"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2"/>
  </w:num>
  <w:num w:numId="2" w16cid:durableId="1141654027">
    <w:abstractNumId w:val="1"/>
  </w:num>
  <w:num w:numId="3" w16cid:durableId="1763139050">
    <w:abstractNumId w:val="3"/>
  </w:num>
  <w:num w:numId="4" w16cid:durableId="17717741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1CB9"/>
    <w:rsid w:val="0002312C"/>
    <w:rsid w:val="00041690"/>
    <w:rsid w:val="000444BB"/>
    <w:rsid w:val="000658B7"/>
    <w:rsid w:val="00082FFA"/>
    <w:rsid w:val="000A39BD"/>
    <w:rsid w:val="000E0702"/>
    <w:rsid w:val="0010048A"/>
    <w:rsid w:val="001076DC"/>
    <w:rsid w:val="001154F0"/>
    <w:rsid w:val="00116768"/>
    <w:rsid w:val="001220BB"/>
    <w:rsid w:val="00123194"/>
    <w:rsid w:val="00123A2D"/>
    <w:rsid w:val="001261ED"/>
    <w:rsid w:val="0013699E"/>
    <w:rsid w:val="00143CB3"/>
    <w:rsid w:val="00170B42"/>
    <w:rsid w:val="001D7BD6"/>
    <w:rsid w:val="001E72E5"/>
    <w:rsid w:val="001E78A0"/>
    <w:rsid w:val="0023761B"/>
    <w:rsid w:val="00260BBE"/>
    <w:rsid w:val="00262785"/>
    <w:rsid w:val="00262F42"/>
    <w:rsid w:val="002741E4"/>
    <w:rsid w:val="0028220E"/>
    <w:rsid w:val="0028658A"/>
    <w:rsid w:val="00291741"/>
    <w:rsid w:val="002A115C"/>
    <w:rsid w:val="002C35EC"/>
    <w:rsid w:val="002D1976"/>
    <w:rsid w:val="002F086D"/>
    <w:rsid w:val="002F22C2"/>
    <w:rsid w:val="002F4354"/>
    <w:rsid w:val="002F78D6"/>
    <w:rsid w:val="00301FE9"/>
    <w:rsid w:val="0030768B"/>
    <w:rsid w:val="0031411D"/>
    <w:rsid w:val="00331A0E"/>
    <w:rsid w:val="00343576"/>
    <w:rsid w:val="00374C75"/>
    <w:rsid w:val="00375E5A"/>
    <w:rsid w:val="00393F2A"/>
    <w:rsid w:val="003A0F2F"/>
    <w:rsid w:val="003C6C4D"/>
    <w:rsid w:val="003E2E31"/>
    <w:rsid w:val="0045107D"/>
    <w:rsid w:val="004544D9"/>
    <w:rsid w:val="00455132"/>
    <w:rsid w:val="00464711"/>
    <w:rsid w:val="0046639F"/>
    <w:rsid w:val="00482F59"/>
    <w:rsid w:val="00491297"/>
    <w:rsid w:val="004922B8"/>
    <w:rsid w:val="00494E69"/>
    <w:rsid w:val="00495589"/>
    <w:rsid w:val="00496026"/>
    <w:rsid w:val="004A7638"/>
    <w:rsid w:val="004A7A67"/>
    <w:rsid w:val="004B76B9"/>
    <w:rsid w:val="004D5534"/>
    <w:rsid w:val="004E1743"/>
    <w:rsid w:val="004F59BA"/>
    <w:rsid w:val="00515B3B"/>
    <w:rsid w:val="00554266"/>
    <w:rsid w:val="00584429"/>
    <w:rsid w:val="00586447"/>
    <w:rsid w:val="00592F4B"/>
    <w:rsid w:val="005A0108"/>
    <w:rsid w:val="005B6C0E"/>
    <w:rsid w:val="005C600F"/>
    <w:rsid w:val="005C6CED"/>
    <w:rsid w:val="005D53D5"/>
    <w:rsid w:val="005E6964"/>
    <w:rsid w:val="005F7882"/>
    <w:rsid w:val="00614603"/>
    <w:rsid w:val="0062245B"/>
    <w:rsid w:val="006240DC"/>
    <w:rsid w:val="006349F7"/>
    <w:rsid w:val="00641FD6"/>
    <w:rsid w:val="00650B9F"/>
    <w:rsid w:val="00654F69"/>
    <w:rsid w:val="006748A8"/>
    <w:rsid w:val="00680B69"/>
    <w:rsid w:val="00686D2C"/>
    <w:rsid w:val="006A113E"/>
    <w:rsid w:val="006C172B"/>
    <w:rsid w:val="006D2C8F"/>
    <w:rsid w:val="006D4B31"/>
    <w:rsid w:val="006E4BEB"/>
    <w:rsid w:val="006E64FB"/>
    <w:rsid w:val="00701405"/>
    <w:rsid w:val="00707AB5"/>
    <w:rsid w:val="00707F25"/>
    <w:rsid w:val="007536CE"/>
    <w:rsid w:val="00777E3C"/>
    <w:rsid w:val="0079197F"/>
    <w:rsid w:val="00797FC0"/>
    <w:rsid w:val="007A185B"/>
    <w:rsid w:val="007A317D"/>
    <w:rsid w:val="007B6B01"/>
    <w:rsid w:val="007C146B"/>
    <w:rsid w:val="007C1DCE"/>
    <w:rsid w:val="007C4AF7"/>
    <w:rsid w:val="007C78CB"/>
    <w:rsid w:val="007D288C"/>
    <w:rsid w:val="007D6490"/>
    <w:rsid w:val="007E1A81"/>
    <w:rsid w:val="007F699C"/>
    <w:rsid w:val="00810431"/>
    <w:rsid w:val="00832049"/>
    <w:rsid w:val="00861418"/>
    <w:rsid w:val="00875FE5"/>
    <w:rsid w:val="00894100"/>
    <w:rsid w:val="008D0626"/>
    <w:rsid w:val="008D2EFD"/>
    <w:rsid w:val="008E57F7"/>
    <w:rsid w:val="008F5BC9"/>
    <w:rsid w:val="00907F90"/>
    <w:rsid w:val="00922A20"/>
    <w:rsid w:val="00925174"/>
    <w:rsid w:val="00961F8C"/>
    <w:rsid w:val="009679AA"/>
    <w:rsid w:val="009A296D"/>
    <w:rsid w:val="009B6AAD"/>
    <w:rsid w:val="009C61AD"/>
    <w:rsid w:val="009D5241"/>
    <w:rsid w:val="009F4457"/>
    <w:rsid w:val="009F6638"/>
    <w:rsid w:val="009F73B9"/>
    <w:rsid w:val="009F7D6C"/>
    <w:rsid w:val="00A02619"/>
    <w:rsid w:val="00A21036"/>
    <w:rsid w:val="00A262AF"/>
    <w:rsid w:val="00A5257C"/>
    <w:rsid w:val="00A605FA"/>
    <w:rsid w:val="00A66760"/>
    <w:rsid w:val="00A8357B"/>
    <w:rsid w:val="00A855E1"/>
    <w:rsid w:val="00A91C5F"/>
    <w:rsid w:val="00AA5B95"/>
    <w:rsid w:val="00AB18DD"/>
    <w:rsid w:val="00AB250E"/>
    <w:rsid w:val="00AC03B6"/>
    <w:rsid w:val="00AD3D30"/>
    <w:rsid w:val="00AD5A34"/>
    <w:rsid w:val="00B27791"/>
    <w:rsid w:val="00B5473D"/>
    <w:rsid w:val="00B55103"/>
    <w:rsid w:val="00B62522"/>
    <w:rsid w:val="00B631EC"/>
    <w:rsid w:val="00B63CF8"/>
    <w:rsid w:val="00BA1FF3"/>
    <w:rsid w:val="00BA6D28"/>
    <w:rsid w:val="00BE1E2B"/>
    <w:rsid w:val="00BE2058"/>
    <w:rsid w:val="00BF2577"/>
    <w:rsid w:val="00BF30C6"/>
    <w:rsid w:val="00C07112"/>
    <w:rsid w:val="00C10AE1"/>
    <w:rsid w:val="00C13E62"/>
    <w:rsid w:val="00C16822"/>
    <w:rsid w:val="00C26239"/>
    <w:rsid w:val="00C306F2"/>
    <w:rsid w:val="00C37E33"/>
    <w:rsid w:val="00C37F19"/>
    <w:rsid w:val="00C51043"/>
    <w:rsid w:val="00C85710"/>
    <w:rsid w:val="00CA3E48"/>
    <w:rsid w:val="00CB1BB2"/>
    <w:rsid w:val="00CC0C2A"/>
    <w:rsid w:val="00CC4A0B"/>
    <w:rsid w:val="00CD06CF"/>
    <w:rsid w:val="00CE2819"/>
    <w:rsid w:val="00D018E9"/>
    <w:rsid w:val="00D23503"/>
    <w:rsid w:val="00D36097"/>
    <w:rsid w:val="00D40302"/>
    <w:rsid w:val="00D57297"/>
    <w:rsid w:val="00D9729F"/>
    <w:rsid w:val="00DA3283"/>
    <w:rsid w:val="00DA45B2"/>
    <w:rsid w:val="00DA60A2"/>
    <w:rsid w:val="00DB3B0E"/>
    <w:rsid w:val="00DD65EE"/>
    <w:rsid w:val="00DE0E81"/>
    <w:rsid w:val="00DF29FB"/>
    <w:rsid w:val="00E03DD4"/>
    <w:rsid w:val="00E05E85"/>
    <w:rsid w:val="00E11553"/>
    <w:rsid w:val="00E141AD"/>
    <w:rsid w:val="00E14899"/>
    <w:rsid w:val="00E17F98"/>
    <w:rsid w:val="00E32B4D"/>
    <w:rsid w:val="00E538FF"/>
    <w:rsid w:val="00E75754"/>
    <w:rsid w:val="00E93DBD"/>
    <w:rsid w:val="00EC24B0"/>
    <w:rsid w:val="00ED2276"/>
    <w:rsid w:val="00ED43E9"/>
    <w:rsid w:val="00EE2B95"/>
    <w:rsid w:val="00F03946"/>
    <w:rsid w:val="00F62410"/>
    <w:rsid w:val="00F7647B"/>
    <w:rsid w:val="00F92E20"/>
    <w:rsid w:val="00F95276"/>
    <w:rsid w:val="00FA30E6"/>
    <w:rsid w:val="00FC2B35"/>
    <w:rsid w:val="00FC5076"/>
    <w:rsid w:val="00FC7A20"/>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3</Pages>
  <Words>810</Words>
  <Characters>4457</Characters>
  <Application>Microsoft Office Word</Application>
  <DocSecurity>0</DocSecurity>
  <Lines>37</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39</cp:revision>
  <cp:lastPrinted>2023-04-03T17:46:00Z</cp:lastPrinted>
  <dcterms:created xsi:type="dcterms:W3CDTF">2023-11-15T18:11:00Z</dcterms:created>
  <dcterms:modified xsi:type="dcterms:W3CDTF">2024-03-21T17:38:00Z</dcterms:modified>
</cp:coreProperties>
</file>