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4813A7F1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6046AF">
        <w:rPr>
          <w:rFonts w:asciiTheme="majorHAnsi" w:hAnsiTheme="majorHAnsi" w:cstheme="majorHAnsi"/>
          <w:sz w:val="22"/>
          <w:szCs w:val="22"/>
          <w:lang w:val="es-ES_tradnl"/>
        </w:rPr>
        <w:t>19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r w:rsidR="00C74DC6">
        <w:rPr>
          <w:rFonts w:asciiTheme="majorHAnsi" w:hAnsiTheme="majorHAnsi" w:cstheme="majorHAnsi"/>
          <w:sz w:val="22"/>
          <w:szCs w:val="22"/>
          <w:lang w:val="es-ES_tradnl"/>
        </w:rPr>
        <w:t>diciembre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2023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2AB7889F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F103D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ALCALDÍAS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opinión,</w:t>
      </w:r>
      <w:r w:rsidR="00142CA5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proofErr w:type="gramStart"/>
      <w:r w:rsidR="006046A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Diciembre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2023</w:t>
      </w:r>
      <w:proofErr w:type="gramEnd"/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las 16 alcaldías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subsegmentación se llevó a cabo para los encuestados que manifestaron ser recidentes de la Alcaldía en cuestión.</w:t>
            </w: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500 (quinientas)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alcaldía. Sumando un gran total del estudio de 8000 (ocho mil) muestras 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</w:t>
            </w:r>
            <w:r w:rsidRPr="00325D48">
              <w:rPr>
                <w:rFonts w:asciiTheme="majorHAnsi" w:hAnsiTheme="majorHAnsi" w:cstheme="majorHAnsi"/>
              </w:rPr>
              <w:lastRenderedPageBreak/>
              <w:t>seleccionada para cada distribución de preferencias o tendencias:</w:t>
            </w:r>
          </w:p>
        </w:tc>
        <w:tc>
          <w:tcPr>
            <w:tcW w:w="5536" w:type="dxa"/>
          </w:tcPr>
          <w:p w14:paraId="77EE5A6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6CD3891A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39.1 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66A03AFF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57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B54E750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68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67E0806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C74DC6">
              <w:rPr>
                <w:rFonts w:asciiTheme="majorHAnsi" w:hAnsiTheme="majorHAnsi" w:cstheme="majorHAnsi"/>
              </w:rPr>
              <w:t>25 al 30</w:t>
            </w:r>
            <w:r>
              <w:t xml:space="preserve"> de noviembre</w:t>
            </w:r>
            <w:r w:rsidRPr="00481C8F">
              <w:t xml:space="preserve"> de 2023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13C4DDC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EN LA ESCALA DEL 1 AL 100, ¿QUÉ CALIFICACIÓN 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ASIGNA AL TRABAJO DE LA ALCALDESA DE </w:t>
            </w:r>
            <w:r>
              <w:rPr>
                <w:rFonts w:asciiTheme="majorHAnsi" w:hAnsiTheme="majorHAnsi" w:cstheme="majorHAnsi"/>
              </w:rPr>
              <w:t>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3183E523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ELECCIONES EN LA ALCALDÍA</w:t>
            </w:r>
            <w:r>
              <w:rPr>
                <w:rFonts w:asciiTheme="majorHAnsi" w:hAnsiTheme="majorHAnsi" w:cstheme="majorHAnsi"/>
              </w:rPr>
              <w:t xml:space="preserve"> _______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2BFA3F11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lastRenderedPageBreak/>
              <w:t>¿A QUIÉN PREFIERE COMO CANDIDATA O CANDIDATO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DEL FRENTE AMPLIO POR MÉXICO PARA LA ELECCIÓN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 ALCALDE EN 2024?</w:t>
            </w:r>
          </w:p>
          <w:p w14:paraId="3A52305D" w14:textId="77777777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¿A QUIÉN PREFIERE COMO CANDIDATA O CANDIDATO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DE LA ALIANZA JUNTOS HACEMOS HISTORIA PARA LA ELECCIÓN DE ALCALDE EN 2024?</w:t>
            </w:r>
          </w:p>
          <w:p w14:paraId="7E163AAB" w14:textId="77777777" w:rsidR="00F103D8" w:rsidRPr="007E05A2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¿A QUIÉN PREFIERE COMO CANDIDATA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O CANDIDATO DE MOVIMIENTO</w:t>
            </w:r>
            <w:r>
              <w:rPr>
                <w:rFonts w:asciiTheme="majorHAnsi" w:hAnsiTheme="majorHAnsi" w:cstheme="majorHAnsi"/>
              </w:rPr>
              <w:t xml:space="preserve">N </w:t>
            </w:r>
            <w:r w:rsidRPr="007E05A2">
              <w:rPr>
                <w:rFonts w:asciiTheme="majorHAnsi" w:hAnsiTheme="majorHAnsi" w:cstheme="majorHAnsi"/>
              </w:rPr>
              <w:t>CIUDADANO PARA LA ELECCIÓN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ALCALDE EN 2024?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500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alcaldía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Dirección: Carolina 151</w:t>
            </w:r>
            <w:r>
              <w:rPr>
                <w:rFonts w:asciiTheme="majorHAnsi" w:hAnsiTheme="majorHAnsi" w:cstheme="majorHAnsi"/>
              </w:rPr>
              <w:t>, interior 503,</w:t>
            </w:r>
            <w:r w:rsidRPr="00325D48">
              <w:rPr>
                <w:rFonts w:asciiTheme="majorHAnsi" w:hAnsiTheme="majorHAnsi" w:cstheme="majorHAnsi"/>
              </w:rPr>
              <w:t xml:space="preserve"> Colonia Noche Buena, Delegación Benito Juárez, C.P. 03720 Ciudad de México. </w:t>
            </w:r>
          </w:p>
          <w:p w14:paraId="7527FDF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1A46C9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28A41C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Correo: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jorgeivand@gmail.com</w:t>
              </w:r>
            </w:hyperlink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Director General y Representante Legal de Gobernate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BD750C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E8410" w14:textId="77777777" w:rsidR="00C77DDB" w:rsidRDefault="00C77DDB" w:rsidP="00AC0308">
      <w:r>
        <w:separator/>
      </w:r>
    </w:p>
  </w:endnote>
  <w:endnote w:type="continuationSeparator" w:id="0">
    <w:p w14:paraId="5C1D7A3D" w14:textId="77777777" w:rsidR="00C77DDB" w:rsidRDefault="00C77DDB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1FDA8" w14:textId="77777777" w:rsidR="00C77DDB" w:rsidRDefault="00C77DDB" w:rsidP="00AC0308">
      <w:r>
        <w:separator/>
      </w:r>
    </w:p>
  </w:footnote>
  <w:footnote w:type="continuationSeparator" w:id="0">
    <w:p w14:paraId="1B19CC36" w14:textId="77777777" w:rsidR="00C77DDB" w:rsidRDefault="00C77DDB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142CA5"/>
    <w:rsid w:val="001A5D6C"/>
    <w:rsid w:val="001F742A"/>
    <w:rsid w:val="002939E5"/>
    <w:rsid w:val="004D53A0"/>
    <w:rsid w:val="00521063"/>
    <w:rsid w:val="00555802"/>
    <w:rsid w:val="006046AF"/>
    <w:rsid w:val="006347D8"/>
    <w:rsid w:val="006C086B"/>
    <w:rsid w:val="00742ED4"/>
    <w:rsid w:val="0076195B"/>
    <w:rsid w:val="00846C89"/>
    <w:rsid w:val="008C15F6"/>
    <w:rsid w:val="009F5F47"/>
    <w:rsid w:val="00A20EA1"/>
    <w:rsid w:val="00AC0308"/>
    <w:rsid w:val="00B9792C"/>
    <w:rsid w:val="00BD750C"/>
    <w:rsid w:val="00C16D3F"/>
    <w:rsid w:val="00C51327"/>
    <w:rsid w:val="00C74DC6"/>
    <w:rsid w:val="00C77DDB"/>
    <w:rsid w:val="00C90BDC"/>
    <w:rsid w:val="00CC46A8"/>
    <w:rsid w:val="00D14D2E"/>
    <w:rsid w:val="00F103D8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1178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2023-12-20T05:41:00Z</dcterms:created>
  <dcterms:modified xsi:type="dcterms:W3CDTF">2023-12-20T05:41:00Z</dcterms:modified>
</cp:coreProperties>
</file>